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LV-C[C1]-I[1-2-1-4-i-] Improving the energy efficiency of public sector buildings, including historical buildings</w:t>
      </w:r>
    </w:p>
    <w:p w:rsidR="00DC6807" w:rsidRPr="00905B9C" w:rsidP="01BD11D8" w14:paraId="4C22E5B9" w14:textId="470FD0EC">
      <w:pPr>
        <w:jc w:val="right"/>
        <w:rPr>
          <w:b/>
          <w:bCs/>
          <w:highlight w:val="cyan"/>
          <w:lang w:val="fr-BE"/>
        </w:rPr>
      </w:pPr>
      <w:r w:rsidRPr="00905B9C" w:rsidR="005B3C6E">
        <w:rPr>
          <w:b/>
          <w:bCs/>
          <w:lang w:val="fr-BE"/>
        </w:rPr>
        <w:t>LV-C[C1]-I[1-2-1-4-i-]-T[17] Notification of contract award for representing at least EUR 16 769 200</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the Latvian public building stock. It applies to buildings owned by the central government including historical ones. The measure seeks to improve their energy efficiency, promote the transition to renewable energy in energy production, and achieve GHG emission reductions. The measure consists of investment in energy efficiency improvements for public buildings. The aid shall ensure that the implementation of all projects shall, on average, result in at least 30% energy savings under the programme. The measure shall be implemented from 1 January 2022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C1.1-2-1-4-i- Improving the energy efficiency of public sector buildings, including historical buildings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Notification of contract award for representing at least EUR 16 769 200</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16769200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Notification to beneficiaries of contract award representing at least EUR 16 769 200.</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was satisfactorily fulfilled, with appropriate links to the underlying evidence including a list of awarded contracts and their amounts.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